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45" w:type="dxa"/>
        <w:tblInd w:w="0" w:type="dxa"/>
        <w:tblLayout w:type="fixed"/>
        <w:tblCellMar>
          <w:top w:w="0" w:type="dxa"/>
          <w:left w:w="108" w:type="dxa"/>
          <w:bottom w:w="0" w:type="dxa"/>
          <w:right w:w="108" w:type="dxa"/>
        </w:tblCellMar>
      </w:tblPr>
      <w:tblGrid>
        <w:gridCol w:w="9647"/>
      </w:tblGrid>
      <w:tr>
        <w:tblPrEx>
          <w:tblCellMar>
            <w:top w:w="0" w:type="dxa"/>
            <w:left w:w="108" w:type="dxa"/>
            <w:bottom w:w="0" w:type="dxa"/>
            <w:right w:w="108" w:type="dxa"/>
          </w:tblCellMar>
        </w:tblPrEx>
        <w:trPr>
          <w:trHeight w:val="628" w:hRule="atLeast"/>
        </w:trPr>
        <w:tc>
          <w:tcPr>
            <w:tcW w:w="9647" w:type="dxa"/>
            <w:tcFitText/>
            <w:vAlign w:val="center"/>
          </w:tcPr>
          <w:p>
            <w:pPr>
              <w:widowControl w:val="0"/>
              <w:jc w:val="center"/>
              <w:rPr>
                <w:rFonts w:ascii="Times New Roman" w:hAnsi="Times New Roman" w:eastAsia="Times New Roman" w:cs="Times New Roman"/>
                <w:lang w:val="ru-RU"/>
              </w:rPr>
            </w:pPr>
            <w:bookmarkStart w:id="0" w:name="_Hlk87022874"/>
            <w:r>
              <w:rPr>
                <w:rFonts w:ascii="Times New Roman" w:hAnsi="Times New Roman" w:eastAsia="Times New Roman" w:cs="Times New Roman"/>
                <w:spacing w:val="27"/>
                <w:w w:val="99"/>
                <w:lang w:val="ru-RU"/>
              </w:rPr>
              <w:t>МИНИСТЕРСТВО НАУКИ И ВЫСШЕГО ОБРАЗОВАНИЯ РОССИЙСКОЙ ФЕДЕРАЦИ</w:t>
            </w:r>
            <w:r>
              <w:rPr>
                <w:rFonts w:ascii="Times New Roman" w:hAnsi="Times New Roman" w:eastAsia="Times New Roman" w:cs="Times New Roman"/>
                <w:spacing w:val="12"/>
                <w:w w:val="99"/>
                <w:lang w:val="ru-RU"/>
              </w:rPr>
              <w:t>И</w:t>
            </w:r>
          </w:p>
          <w:p>
            <w:pPr>
              <w:widowControl w:val="0"/>
              <w:jc w:val="center"/>
              <w:rPr>
                <w:rFonts w:ascii="Times New Roman" w:hAnsi="Times New Roman" w:eastAsia="Times New Roman" w:cs="Times New Roman"/>
                <w:caps/>
                <w:sz w:val="16"/>
                <w:szCs w:val="16"/>
                <w:lang w:val="ru-RU"/>
              </w:rPr>
            </w:pPr>
            <w:r>
              <w:rPr>
                <w:rFonts w:ascii="Times New Roman" w:hAnsi="Times New Roman" w:eastAsia="Times New Roman" w:cs="Times New Roman"/>
                <w:caps/>
                <w:spacing w:val="14"/>
                <w:sz w:val="15"/>
                <w:szCs w:val="15"/>
                <w:lang w:val="ru-RU"/>
              </w:rPr>
              <w:t>федеральное государственное АВТОНОМНОЕ образовательное учреждение высшего образовани</w:t>
            </w:r>
            <w:r>
              <w:rPr>
                <w:rFonts w:ascii="Times New Roman" w:hAnsi="Times New Roman" w:eastAsia="Times New Roman" w:cs="Times New Roman"/>
                <w:caps/>
                <w:spacing w:val="19"/>
                <w:sz w:val="15"/>
                <w:szCs w:val="15"/>
                <w:lang w:val="ru-RU"/>
              </w:rPr>
              <w:t>я</w:t>
            </w:r>
          </w:p>
          <w:p>
            <w:pPr>
              <w:widowControl w:val="0"/>
              <w:jc w:val="center"/>
              <w:rPr>
                <w:rFonts w:ascii="Times New Roman" w:hAnsi="Times New Roman" w:eastAsia="Times New Roman" w:cs="Times New Roman"/>
                <w:spacing w:val="20"/>
                <w:lang w:val="ru-RU"/>
              </w:rPr>
            </w:pPr>
            <w:r>
              <w:rPr>
                <w:rFonts w:ascii="Times New Roman" w:hAnsi="Times New Roman" w:eastAsia="Times New Roman" w:cs="Times New Roman"/>
                <w:spacing w:val="63"/>
                <w:lang w:val="ru-RU"/>
              </w:rPr>
              <w:t>«Национальный исследовательский ядерный университет «МИФИ</w:t>
            </w:r>
            <w:r>
              <w:rPr>
                <w:rFonts w:ascii="Times New Roman" w:hAnsi="Times New Roman" w:eastAsia="Times New Roman" w:cs="Times New Roman"/>
                <w:lang w:val="ru-RU"/>
              </w:rPr>
              <w:t>»</w:t>
            </w:r>
          </w:p>
        </w:tc>
      </w:tr>
      <w:tr>
        <w:tblPrEx>
          <w:tblCellMar>
            <w:top w:w="0" w:type="dxa"/>
            <w:left w:w="108" w:type="dxa"/>
            <w:bottom w:w="0" w:type="dxa"/>
            <w:right w:w="108" w:type="dxa"/>
          </w:tblCellMar>
        </w:tblPrEx>
        <w:trPr>
          <w:trHeight w:val="975" w:hRule="atLeast"/>
        </w:trPr>
        <w:tc>
          <w:tcPr>
            <w:tcW w:w="9647" w:type="dxa"/>
          </w:tcPr>
          <w:p>
            <w:pPr>
              <w:widowControl w:val="0"/>
              <w:jc w:val="center"/>
              <w:rPr>
                <w:rFonts w:hint="default" w:ascii="Times New Roman" w:hAnsi="Times New Roman" w:eastAsia="Times New Roman" w:cs="Times New Roman"/>
                <w:b/>
                <w:sz w:val="28"/>
                <w:szCs w:val="28"/>
                <w:lang w:val="ru-RU"/>
              </w:rPr>
            </w:pPr>
            <w:r>
              <w:rPr>
                <w:rFonts w:hint="default" w:ascii="Times New Roman" w:hAnsi="Times New Roman" w:eastAsia="Times New Roman" w:cs="Times New Roman"/>
                <w:b/>
                <w:sz w:val="28"/>
                <w:szCs w:val="28"/>
                <w:lang w:val="ru-RU"/>
              </w:rPr>
              <w:t>Обнинский институт атомной энергетики</w:t>
            </w:r>
            <w:r>
              <w:rPr>
                <w:rFonts w:hint="default" w:ascii="Times New Roman" w:hAnsi="Times New Roman" w:eastAsia="Times New Roman" w:cs="Times New Roman"/>
                <w:b/>
                <w:lang w:val="ru-RU"/>
              </w:rPr>
              <w:t xml:space="preserve"> </w:t>
            </w:r>
            <w:r>
              <w:rPr>
                <w:rFonts w:hint="default" w:ascii="Times New Roman" w:hAnsi="Times New Roman" w:eastAsia="Times New Roman" w:cs="Times New Roman"/>
                <w:b/>
                <w:sz w:val="28"/>
                <w:szCs w:val="28"/>
                <w:lang w:val="ru-RU"/>
              </w:rPr>
              <w:t xml:space="preserve">– </w:t>
            </w:r>
          </w:p>
          <w:p>
            <w:pPr>
              <w:widowControl w:val="0"/>
              <w:jc w:val="center"/>
              <w:rPr>
                <w:rFonts w:hint="default" w:ascii="Times New Roman" w:hAnsi="Times New Roman" w:eastAsia="Times New Roman" w:cs="Times New Roman"/>
                <w:sz w:val="18"/>
                <w:szCs w:val="18"/>
                <w:lang w:val="ru-RU"/>
              </w:rPr>
            </w:pPr>
            <w:r>
              <w:rPr>
                <w:rFonts w:hint="default" w:ascii="Times New Roman" w:hAnsi="Times New Roman" w:eastAsia="Times New Roman" w:cs="Times New Roman"/>
                <w:sz w:val="18"/>
                <w:szCs w:val="18"/>
                <w:lang w:val="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pPr>
              <w:widowControl w:val="0"/>
              <w:spacing w:line="240" w:lineRule="atLeast"/>
              <w:jc w:val="center"/>
              <w:rPr>
                <w:rFonts w:ascii="Times New Roman" w:hAnsi="Times New Roman" w:eastAsia="Times New Roman" w:cs="Times New Roman"/>
                <w:sz w:val="26"/>
                <w:szCs w:val="26"/>
              </w:rPr>
            </w:pPr>
            <w:r>
              <w:rPr>
                <w:rFonts w:hint="default" w:ascii="Times New Roman" w:hAnsi="Times New Roman" w:eastAsia="Times New Roman" w:cs="Times New Roman"/>
                <w:b/>
                <w:sz w:val="26"/>
                <w:szCs w:val="26"/>
              </w:rPr>
              <w:t>(ИАТЭ НИЯУ МИФИ)</w:t>
            </w:r>
          </w:p>
        </w:tc>
      </w:tr>
      <w:bookmarkEnd w:id="0"/>
    </w:tbl>
    <w:p>
      <w:pPr>
        <w:widowControl w:val="0"/>
        <w:ind w:right="-5"/>
        <w:jc w:val="center"/>
        <w:rPr>
          <w:rFonts w:ascii="Times New Roman" w:hAnsi="Times New Roman" w:eastAsia="Times New Roman" w:cs="Times New Roman"/>
          <w:b/>
          <w:sz w:val="28"/>
          <w:lang w:eastAsia="ru-RU"/>
        </w:rPr>
      </w:pPr>
    </w:p>
    <w:p>
      <w:pPr>
        <w:widowControl w:val="0"/>
        <w:ind w:right="-5"/>
        <w:jc w:val="center"/>
        <w:rPr>
          <w:rFonts w:ascii="Times New Roman" w:hAnsi="Times New Roman" w:eastAsia="Times New Roman" w:cs="Times New Roman"/>
          <w:b/>
          <w:sz w:val="28"/>
        </w:rPr>
      </w:pPr>
    </w:p>
    <w:p>
      <w:pPr>
        <w:widowControl w:val="0"/>
        <w:ind w:right="-5"/>
        <w:jc w:val="center"/>
        <w:rPr>
          <w:rFonts w:ascii="Times New Roman" w:hAnsi="Times New Roman" w:eastAsia="Times New Roman" w:cs="Times New Roman"/>
          <w:b/>
          <w:sz w:val="28"/>
        </w:rPr>
      </w:pPr>
    </w:p>
    <w:p>
      <w:pPr>
        <w:jc w:val="right"/>
        <w:rPr>
          <w:rFonts w:hint="default" w:ascii="Times New Roman" w:hAnsi="Times New Roman" w:cs="Times New Roman"/>
          <w:sz w:val="28"/>
          <w:szCs w:val="28"/>
          <w:highlight w:val="none"/>
        </w:rPr>
      </w:pPr>
      <w:r>
        <w:rPr>
          <w:rFonts w:hint="default" w:ascii="Times New Roman" w:hAnsi="Times New Roman" w:cs="Times New Roman"/>
          <w:sz w:val="28"/>
          <w:szCs w:val="28"/>
          <w:highlight w:val="none"/>
        </w:rPr>
        <w:t>Одобрено на заседании</w:t>
      </w:r>
    </w:p>
    <w:p>
      <w:pPr>
        <w:jc w:val="right"/>
        <w:rPr>
          <w:rFonts w:hint="default" w:ascii="Times New Roman" w:hAnsi="Times New Roman" w:cs="Times New Roman"/>
          <w:sz w:val="28"/>
          <w:szCs w:val="28"/>
          <w:highlight w:val="none"/>
        </w:rPr>
      </w:pPr>
      <w:r>
        <w:rPr>
          <w:rFonts w:hint="default" w:ascii="Times New Roman" w:hAnsi="Times New Roman" w:cs="Times New Roman"/>
          <w:sz w:val="28"/>
          <w:szCs w:val="28"/>
          <w:highlight w:val="none"/>
        </w:rPr>
        <w:t>Ученого совета ИАТЭ НИЯУ МИФИ</w:t>
      </w:r>
    </w:p>
    <w:p>
      <w:pPr>
        <w:widowControl w:val="0"/>
        <w:spacing w:line="360" w:lineRule="auto"/>
        <w:jc w:val="right"/>
        <w:rPr>
          <w:rFonts w:hint="default" w:ascii="Times New Roman" w:hAnsi="Times New Roman" w:eastAsia="Times New Roman" w:cs="Times New Roman"/>
          <w:sz w:val="28"/>
          <w:szCs w:val="28"/>
        </w:rPr>
      </w:pPr>
      <w:r>
        <w:rPr>
          <w:rFonts w:hint="default" w:ascii="Times New Roman" w:hAnsi="Times New Roman" w:cs="Times New Roman"/>
          <w:sz w:val="28"/>
          <w:szCs w:val="28"/>
          <w:highlight w:val="none"/>
        </w:rPr>
        <w:t>Протокол от 24.04.2023 № 23.4</w:t>
      </w:r>
    </w:p>
    <w:p>
      <w:pPr>
        <w:widowControl w:val="0"/>
        <w:jc w:val="right"/>
        <w:rPr>
          <w:rFonts w:ascii="Times New Roman" w:hAnsi="Times New Roman" w:eastAsia="Times New Roman" w:cs="Times New Roman"/>
          <w:sz w:val="28"/>
          <w:szCs w:val="28"/>
        </w:rPr>
      </w:pPr>
    </w:p>
    <w:p>
      <w:pPr>
        <w:widowControl w:val="0"/>
        <w:jc w:val="right"/>
        <w:rPr>
          <w:rFonts w:ascii="Times New Roman" w:hAnsi="Times New Roman" w:eastAsia="Times New Roman" w:cs="Times New Roman"/>
          <w:sz w:val="28"/>
          <w:szCs w:val="28"/>
        </w:rPr>
      </w:pPr>
    </w:p>
    <w:p>
      <w:pPr>
        <w:widowControl w:val="0"/>
        <w:jc w:val="right"/>
        <w:rPr>
          <w:rFonts w:ascii="Times New Roman" w:hAnsi="Times New Roman" w:eastAsia="Times New Roman" w:cs="Times New Roman"/>
          <w:sz w:val="28"/>
          <w:szCs w:val="28"/>
        </w:rPr>
      </w:pPr>
    </w:p>
    <w:p>
      <w:pPr>
        <w:widowControl w:val="0"/>
        <w:jc w:val="right"/>
        <w:rPr>
          <w:rFonts w:ascii="Times New Roman" w:hAnsi="Times New Roman" w:eastAsia="Times New Roman" w:cs="Times New Roman"/>
        </w:rPr>
      </w:pPr>
    </w:p>
    <w:p>
      <w:pPr>
        <w:widowControl w:val="0"/>
        <w:jc w:val="right"/>
        <w:rPr>
          <w:rFonts w:ascii="Times New Roman" w:hAnsi="Times New Roman" w:eastAsia="Times New Roman" w:cs="Times New Roman"/>
        </w:rPr>
      </w:pPr>
    </w:p>
    <w:p>
      <w:pPr>
        <w:widowControl w:val="0"/>
        <w:jc w:val="center"/>
        <w:rPr>
          <w:rFonts w:ascii="Times New Roman" w:hAnsi="Times New Roman" w:eastAsia="Times New Roman" w:cs="Times New Roman"/>
          <w:b/>
          <w:sz w:val="32"/>
          <w:szCs w:val="32"/>
        </w:rPr>
      </w:pPr>
      <w:r>
        <w:rPr>
          <w:rFonts w:ascii="Times New Roman" w:hAnsi="Times New Roman" w:eastAsia="Times New Roman" w:cs="Times New Roman"/>
          <w:b/>
          <w:sz w:val="32"/>
          <w:szCs w:val="32"/>
        </w:rPr>
        <w:t>МЕТОДИЧЕСКИЕ РЕКОМЕНДАЦИИ</w:t>
      </w:r>
    </w:p>
    <w:p>
      <w:pPr>
        <w:widowControl w:val="0"/>
        <w:jc w:val="center"/>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для самостоятельной работы студентов</w:t>
      </w:r>
    </w:p>
    <w:p>
      <w:pPr>
        <w:widowControl w:val="0"/>
        <w:rPr>
          <w:rFonts w:ascii="Times New Roman" w:hAnsi="Times New Roman" w:eastAsia="Times New Roman" w:cs="Times New Roman"/>
          <w:sz w:val="28"/>
          <w:szCs w:val="28"/>
        </w:rPr>
      </w:pPr>
    </w:p>
    <w:tbl>
      <w:tblPr>
        <w:tblStyle w:val="3"/>
        <w:tblW w:w="0" w:type="auto"/>
        <w:tblInd w:w="0" w:type="dxa"/>
        <w:tblLayout w:type="autofit"/>
        <w:tblCellMar>
          <w:top w:w="0" w:type="dxa"/>
          <w:left w:w="108" w:type="dxa"/>
          <w:bottom w:w="0" w:type="dxa"/>
          <w:right w:w="108" w:type="dxa"/>
        </w:tblCellMar>
      </w:tblPr>
      <w:tblGrid>
        <w:gridCol w:w="9242"/>
      </w:tblGrid>
      <w:tr>
        <w:tblPrEx>
          <w:tblCellMar>
            <w:top w:w="0" w:type="dxa"/>
            <w:left w:w="108" w:type="dxa"/>
            <w:bottom w:w="0" w:type="dxa"/>
            <w:right w:w="108" w:type="dxa"/>
          </w:tblCellMar>
        </w:tblPrEx>
        <w:tc>
          <w:tcPr>
            <w:tcW w:w="9242" w:type="dxa"/>
            <w:tcBorders>
              <w:top w:val="nil"/>
              <w:left w:val="nil"/>
              <w:bottom w:val="single" w:color="auto" w:sz="4" w:space="0"/>
              <w:right w:val="nil"/>
            </w:tcBorders>
          </w:tcPr>
          <w:p>
            <w:pPr>
              <w:widowControl w:val="0"/>
              <w:jc w:val="center"/>
              <w:rPr>
                <w:rFonts w:ascii="Times New Roman" w:hAnsi="Times New Roman" w:eastAsia="Times New Roman" w:cs="Times New Roman"/>
                <w:b/>
                <w:sz w:val="28"/>
                <w:szCs w:val="28"/>
                <w:lang w:val="ru-RU"/>
              </w:rPr>
            </w:pPr>
            <w:r>
              <w:rPr>
                <w:rFonts w:ascii="Times New Roman" w:hAnsi="Times New Roman" w:eastAsia="Times New Roman" w:cs="Times New Roman"/>
                <w:b/>
                <w:sz w:val="28"/>
                <w:szCs w:val="28"/>
                <w:lang w:val="ru-RU"/>
              </w:rPr>
              <w:t>Органическая химия</w:t>
            </w:r>
          </w:p>
        </w:tc>
      </w:tr>
      <w:tr>
        <w:tblPrEx>
          <w:tblCellMar>
            <w:top w:w="0" w:type="dxa"/>
            <w:left w:w="108" w:type="dxa"/>
            <w:bottom w:w="0" w:type="dxa"/>
            <w:right w:w="108" w:type="dxa"/>
          </w:tblCellMar>
        </w:tblPrEx>
        <w:tc>
          <w:tcPr>
            <w:tcW w:w="9242" w:type="dxa"/>
            <w:tcBorders>
              <w:top w:val="single" w:color="auto" w:sz="4" w:space="0"/>
              <w:left w:val="nil"/>
              <w:bottom w:val="nil"/>
              <w:right w:val="nil"/>
            </w:tcBorders>
          </w:tcPr>
          <w:p>
            <w:pPr>
              <w:widowControl w:val="0"/>
              <w:jc w:val="center"/>
              <w:rPr>
                <w:rFonts w:ascii="Times New Roman" w:hAnsi="Times New Roman" w:eastAsia="Times New Roman" w:cs="Times New Roman"/>
                <w:i/>
              </w:rPr>
            </w:pPr>
            <w:r>
              <w:rPr>
                <w:rFonts w:ascii="Times New Roman" w:hAnsi="Times New Roman" w:eastAsia="Times New Roman" w:cs="Times New Roman"/>
                <w:i/>
              </w:rPr>
              <w:t xml:space="preserve"> название дисциплины</w:t>
            </w:r>
          </w:p>
        </w:tc>
      </w:tr>
      <w:tr>
        <w:tblPrEx>
          <w:tblCellMar>
            <w:top w:w="0" w:type="dxa"/>
            <w:left w:w="108" w:type="dxa"/>
            <w:bottom w:w="0" w:type="dxa"/>
            <w:right w:w="108" w:type="dxa"/>
          </w:tblCellMar>
        </w:tblPrEx>
        <w:tc>
          <w:tcPr>
            <w:tcW w:w="9242" w:type="dxa"/>
          </w:tcPr>
          <w:p>
            <w:pPr>
              <w:widowControl w:val="0"/>
              <w:rPr>
                <w:rFonts w:ascii="Times New Roman" w:hAnsi="Times New Roman" w:eastAsia="Times New Roman" w:cs="Times New Roman"/>
                <w:sz w:val="24"/>
                <w:szCs w:val="24"/>
              </w:rPr>
            </w:pPr>
          </w:p>
        </w:tc>
      </w:tr>
      <w:tr>
        <w:tblPrEx>
          <w:tblCellMar>
            <w:top w:w="0" w:type="dxa"/>
            <w:left w:w="108" w:type="dxa"/>
            <w:bottom w:w="0" w:type="dxa"/>
            <w:right w:w="108" w:type="dxa"/>
          </w:tblCellMar>
        </w:tblPrEx>
        <w:tc>
          <w:tcPr>
            <w:tcW w:w="9242" w:type="dxa"/>
          </w:tcPr>
          <w:p>
            <w:pPr>
              <w:widowControl w:val="0"/>
              <w:jc w:val="center"/>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для студентов специальности/направления подготовки</w:t>
            </w:r>
          </w:p>
        </w:tc>
      </w:tr>
      <w:tr>
        <w:tblPrEx>
          <w:tblCellMar>
            <w:top w:w="0" w:type="dxa"/>
            <w:left w:w="108" w:type="dxa"/>
            <w:bottom w:w="0" w:type="dxa"/>
            <w:right w:w="108" w:type="dxa"/>
          </w:tblCellMar>
        </w:tblPrEx>
        <w:tc>
          <w:tcPr>
            <w:tcW w:w="9242" w:type="dxa"/>
          </w:tcPr>
          <w:p>
            <w:pPr>
              <w:widowControl w:val="0"/>
              <w:rPr>
                <w:rFonts w:ascii="Times New Roman" w:hAnsi="Times New Roman" w:eastAsia="Times New Roman" w:cs="Times New Roman"/>
                <w:sz w:val="28"/>
                <w:szCs w:val="28"/>
                <w:lang w:val="ru-RU"/>
              </w:rPr>
            </w:pPr>
          </w:p>
        </w:tc>
      </w:tr>
      <w:tr>
        <w:tblPrEx>
          <w:tblCellMar>
            <w:top w:w="0" w:type="dxa"/>
            <w:left w:w="108" w:type="dxa"/>
            <w:bottom w:w="0" w:type="dxa"/>
            <w:right w:w="108" w:type="dxa"/>
          </w:tblCellMar>
        </w:tblPrEx>
        <w:tc>
          <w:tcPr>
            <w:tcW w:w="9242" w:type="dxa"/>
            <w:tcBorders>
              <w:top w:val="nil"/>
              <w:left w:val="nil"/>
              <w:bottom w:val="single" w:color="auto" w:sz="4" w:space="0"/>
              <w:right w:val="nil"/>
            </w:tcBorders>
          </w:tcPr>
          <w:p>
            <w:pPr>
              <w:widowControl w:val="0"/>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04.03.01 – Химия</w:t>
            </w:r>
          </w:p>
        </w:tc>
      </w:tr>
      <w:tr>
        <w:tblPrEx>
          <w:tblCellMar>
            <w:top w:w="0" w:type="dxa"/>
            <w:left w:w="108" w:type="dxa"/>
            <w:bottom w:w="0" w:type="dxa"/>
            <w:right w:w="108" w:type="dxa"/>
          </w:tblCellMar>
        </w:tblPrEx>
        <w:tc>
          <w:tcPr>
            <w:tcW w:w="9242" w:type="dxa"/>
            <w:tcBorders>
              <w:top w:val="single" w:color="auto" w:sz="4" w:space="0"/>
              <w:left w:val="nil"/>
              <w:bottom w:val="nil"/>
              <w:right w:val="nil"/>
            </w:tcBorders>
          </w:tcPr>
          <w:p>
            <w:pPr>
              <w:widowControl w:val="0"/>
              <w:jc w:val="center"/>
              <w:rPr>
                <w:rFonts w:ascii="Times New Roman" w:hAnsi="Times New Roman" w:eastAsia="Times New Roman" w:cs="Times New Roman"/>
                <w:i/>
                <w:lang w:val="ru-RU"/>
              </w:rPr>
            </w:pPr>
            <w:r>
              <w:rPr>
                <w:rFonts w:ascii="Times New Roman" w:hAnsi="Times New Roman" w:eastAsia="Times New Roman" w:cs="Times New Roman"/>
                <w:i/>
                <w:lang w:val="ru-RU"/>
              </w:rPr>
              <w:t>Шифр, название специальности/направления подготовки</w:t>
            </w:r>
          </w:p>
        </w:tc>
      </w:tr>
      <w:tr>
        <w:tblPrEx>
          <w:tblCellMar>
            <w:top w:w="0" w:type="dxa"/>
            <w:left w:w="108" w:type="dxa"/>
            <w:bottom w:w="0" w:type="dxa"/>
            <w:right w:w="108" w:type="dxa"/>
          </w:tblCellMar>
        </w:tblPrEx>
        <w:tc>
          <w:tcPr>
            <w:tcW w:w="9242" w:type="dxa"/>
          </w:tcPr>
          <w:p>
            <w:pPr>
              <w:widowControl w:val="0"/>
              <w:jc w:val="center"/>
              <w:rPr>
                <w:rFonts w:ascii="Times New Roman" w:hAnsi="Times New Roman" w:eastAsia="Times New Roman" w:cs="Times New Roman"/>
                <w:i/>
                <w:sz w:val="24"/>
                <w:szCs w:val="24"/>
                <w:lang w:val="ru-RU"/>
              </w:rPr>
            </w:pPr>
          </w:p>
        </w:tc>
      </w:tr>
      <w:tr>
        <w:tblPrEx>
          <w:tblCellMar>
            <w:top w:w="0" w:type="dxa"/>
            <w:left w:w="108" w:type="dxa"/>
            <w:bottom w:w="0" w:type="dxa"/>
            <w:right w:w="108" w:type="dxa"/>
          </w:tblCellMar>
        </w:tblPrEx>
        <w:tc>
          <w:tcPr>
            <w:tcW w:w="9242" w:type="dxa"/>
          </w:tcPr>
          <w:p>
            <w:pPr>
              <w:widowControl w:val="0"/>
              <w:jc w:val="center"/>
              <w:rPr>
                <w:rFonts w:ascii="Times New Roman" w:hAnsi="Times New Roman" w:eastAsia="Times New Roman" w:cs="Times New Roman"/>
                <w:i/>
                <w:sz w:val="28"/>
                <w:szCs w:val="28"/>
                <w:lang w:val="ru-RU"/>
              </w:rPr>
            </w:pPr>
          </w:p>
        </w:tc>
      </w:tr>
      <w:tr>
        <w:tblPrEx>
          <w:tblCellMar>
            <w:top w:w="0" w:type="dxa"/>
            <w:left w:w="108" w:type="dxa"/>
            <w:bottom w:w="0" w:type="dxa"/>
            <w:right w:w="108" w:type="dxa"/>
          </w:tblCellMar>
        </w:tblPrEx>
        <w:tc>
          <w:tcPr>
            <w:tcW w:w="9242" w:type="dxa"/>
            <w:tcBorders>
              <w:top w:val="nil"/>
              <w:left w:val="nil"/>
              <w:bottom w:val="single" w:color="auto" w:sz="4" w:space="0"/>
              <w:right w:val="nil"/>
            </w:tcBorders>
          </w:tcPr>
          <w:p>
            <w:pPr>
              <w:widowControl w:val="0"/>
              <w:jc w:val="center"/>
              <w:rPr>
                <w:rFonts w:ascii="Times New Roman" w:hAnsi="Times New Roman" w:eastAsia="Times New Roman" w:cs="Times New Roman"/>
                <w:i/>
                <w:sz w:val="28"/>
                <w:szCs w:val="28"/>
              </w:rPr>
            </w:pPr>
            <w:r>
              <w:rPr>
                <w:rFonts w:ascii="Times New Roman" w:hAnsi="Times New Roman" w:eastAsia="Times New Roman" w:cs="Times New Roman"/>
                <w:i/>
                <w:sz w:val="28"/>
                <w:szCs w:val="28"/>
              </w:rPr>
              <w:t>Аналитическая химия</w:t>
            </w:r>
          </w:p>
        </w:tc>
      </w:tr>
      <w:tr>
        <w:tblPrEx>
          <w:tblCellMar>
            <w:top w:w="0" w:type="dxa"/>
            <w:left w:w="108" w:type="dxa"/>
            <w:bottom w:w="0" w:type="dxa"/>
            <w:right w:w="108" w:type="dxa"/>
          </w:tblCellMar>
        </w:tblPrEx>
        <w:tc>
          <w:tcPr>
            <w:tcW w:w="9242" w:type="dxa"/>
            <w:tcBorders>
              <w:top w:val="single" w:color="auto" w:sz="4" w:space="0"/>
              <w:left w:val="nil"/>
              <w:bottom w:val="nil"/>
              <w:right w:val="nil"/>
            </w:tcBorders>
          </w:tcPr>
          <w:p>
            <w:pPr>
              <w:widowControl w:val="0"/>
              <w:jc w:val="center"/>
              <w:rPr>
                <w:rFonts w:ascii="Times New Roman" w:hAnsi="Times New Roman" w:eastAsia="Times New Roman" w:cs="Times New Roman"/>
                <w:i/>
                <w:sz w:val="24"/>
                <w:szCs w:val="24"/>
              </w:rPr>
            </w:pPr>
            <w:r>
              <w:rPr>
                <w:rFonts w:ascii="Times New Roman" w:hAnsi="Times New Roman" w:eastAsia="Times New Roman" w:cs="Times New Roman"/>
                <w:i/>
              </w:rPr>
              <w:t>Шифр, название специализации/профиля</w:t>
            </w:r>
          </w:p>
        </w:tc>
      </w:tr>
      <w:tr>
        <w:tblPrEx>
          <w:tblCellMar>
            <w:top w:w="0" w:type="dxa"/>
            <w:left w:w="108" w:type="dxa"/>
            <w:bottom w:w="0" w:type="dxa"/>
            <w:right w:w="108" w:type="dxa"/>
          </w:tblCellMar>
        </w:tblPrEx>
        <w:tc>
          <w:tcPr>
            <w:tcW w:w="9242" w:type="dxa"/>
          </w:tcPr>
          <w:p>
            <w:pPr>
              <w:widowControl w:val="0"/>
              <w:jc w:val="center"/>
              <w:rPr>
                <w:rFonts w:ascii="Times New Roman" w:hAnsi="Times New Roman" w:eastAsia="Times New Roman" w:cs="Times New Roman"/>
                <w:i/>
                <w:sz w:val="24"/>
                <w:szCs w:val="24"/>
              </w:rPr>
            </w:pPr>
          </w:p>
        </w:tc>
      </w:tr>
      <w:tr>
        <w:tblPrEx>
          <w:tblCellMar>
            <w:top w:w="0" w:type="dxa"/>
            <w:left w:w="108" w:type="dxa"/>
            <w:bottom w:w="0" w:type="dxa"/>
            <w:right w:w="108" w:type="dxa"/>
          </w:tblCellMar>
        </w:tblPrEx>
        <w:tc>
          <w:tcPr>
            <w:tcW w:w="9242" w:type="dxa"/>
          </w:tcPr>
          <w:p>
            <w:pPr>
              <w:widowControl w:val="0"/>
              <w:jc w:val="center"/>
              <w:rPr>
                <w:rFonts w:ascii="Times New Roman" w:hAnsi="Times New Roman" w:eastAsia="Times New Roman" w:cs="Times New Roman"/>
                <w:i/>
                <w:sz w:val="28"/>
                <w:szCs w:val="28"/>
              </w:rPr>
            </w:pPr>
          </w:p>
        </w:tc>
      </w:tr>
      <w:tr>
        <w:tblPrEx>
          <w:tblCellMar>
            <w:top w:w="0" w:type="dxa"/>
            <w:left w:w="108" w:type="dxa"/>
            <w:bottom w:w="0" w:type="dxa"/>
            <w:right w:w="108" w:type="dxa"/>
          </w:tblCellMar>
        </w:tblPrEx>
        <w:tc>
          <w:tcPr>
            <w:tcW w:w="9242" w:type="dxa"/>
          </w:tcPr>
          <w:p>
            <w:pPr>
              <w:widowControl w:val="0"/>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Форма обучения: </w:t>
            </w:r>
            <w:r>
              <w:rPr>
                <w:rFonts w:ascii="Times New Roman" w:hAnsi="Times New Roman" w:eastAsia="Times New Roman" w:cs="Times New Roman"/>
                <w:b/>
                <w:sz w:val="28"/>
                <w:szCs w:val="28"/>
              </w:rPr>
              <w:t>очная</w:t>
            </w:r>
          </w:p>
        </w:tc>
      </w:tr>
    </w:tbl>
    <w:p>
      <w:pPr>
        <w:widowControl w:val="0"/>
        <w:jc w:val="center"/>
        <w:rPr>
          <w:rFonts w:ascii="Times New Roman" w:hAnsi="Times New Roman" w:eastAsia="Times New Roman" w:cs="Times New Roman"/>
          <w:sz w:val="28"/>
          <w:szCs w:val="28"/>
          <w:lang w:eastAsia="ru-RU"/>
        </w:rPr>
      </w:pPr>
    </w:p>
    <w:p>
      <w:pPr>
        <w:widowControl w:val="0"/>
        <w:jc w:val="center"/>
        <w:rPr>
          <w:rFonts w:ascii="Times New Roman" w:hAnsi="Times New Roman" w:eastAsia="Times New Roman" w:cs="Times New Roman"/>
          <w:sz w:val="28"/>
          <w:szCs w:val="28"/>
        </w:rPr>
      </w:pPr>
    </w:p>
    <w:p>
      <w:pPr>
        <w:widowControl w:val="0"/>
        <w:jc w:val="center"/>
        <w:rPr>
          <w:rFonts w:ascii="Times New Roman" w:hAnsi="Times New Roman" w:eastAsia="Times New Roman" w:cs="Times New Roman"/>
          <w:sz w:val="28"/>
          <w:szCs w:val="28"/>
        </w:rPr>
      </w:pPr>
    </w:p>
    <w:p>
      <w:pPr>
        <w:widowControl w:val="0"/>
        <w:jc w:val="center"/>
        <w:rPr>
          <w:rFonts w:ascii="Times New Roman" w:hAnsi="Times New Roman" w:eastAsia="Times New Roman" w:cs="Times New Roman"/>
          <w:sz w:val="28"/>
          <w:szCs w:val="28"/>
        </w:rPr>
      </w:pPr>
    </w:p>
    <w:p>
      <w:pPr>
        <w:widowControl w:val="0"/>
        <w:jc w:val="center"/>
        <w:rPr>
          <w:rFonts w:ascii="Times New Roman" w:hAnsi="Times New Roman" w:eastAsia="Times New Roman" w:cs="Times New Roman"/>
          <w:sz w:val="28"/>
          <w:szCs w:val="28"/>
        </w:rPr>
      </w:pPr>
    </w:p>
    <w:p>
      <w:pPr>
        <w:widowControl w:val="0"/>
        <w:jc w:val="center"/>
        <w:rPr>
          <w:rFonts w:ascii="Times New Roman" w:hAnsi="Times New Roman" w:eastAsia="Times New Roman" w:cs="Times New Roman"/>
          <w:sz w:val="28"/>
          <w:szCs w:val="28"/>
        </w:rPr>
      </w:pPr>
    </w:p>
    <w:p>
      <w:pPr>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г. Обнинск 202</w:t>
      </w:r>
      <w:r>
        <w:rPr>
          <w:rFonts w:hint="default" w:ascii="Times New Roman" w:hAnsi="Times New Roman" w:eastAsia="Times New Roman" w:cs="Times New Roman"/>
          <w:b/>
          <w:sz w:val="28"/>
          <w:szCs w:val="28"/>
          <w:lang w:val="ru-RU"/>
        </w:rPr>
        <w:t>3</w:t>
      </w:r>
      <w:r>
        <w:rPr>
          <w:rFonts w:ascii="Times New Roman" w:hAnsi="Times New Roman" w:eastAsia="Times New Roman" w:cs="Times New Roman"/>
          <w:b/>
          <w:sz w:val="28"/>
          <w:szCs w:val="28"/>
        </w:rPr>
        <w:t xml:space="preserve"> г.</w:t>
      </w:r>
    </w:p>
    <w:p>
      <w:pPr>
        <w:jc w:val="center"/>
        <w:rPr>
          <w:rFonts w:ascii="Times New Roman" w:hAnsi="Times New Roman" w:eastAsia="Times New Roman" w:cs="Times New Roman"/>
          <w:b/>
          <w:sz w:val="28"/>
          <w:szCs w:val="28"/>
        </w:rPr>
      </w:pPr>
    </w:p>
    <w:p>
      <w:pPr>
        <w:jc w:val="center"/>
        <w:rPr>
          <w:rFonts w:ascii="Times New Roman" w:hAnsi="Times New Roman" w:eastAsia="Times New Roman" w:cs="Times New Roman"/>
          <w:b/>
          <w:sz w:val="28"/>
          <w:szCs w:val="28"/>
        </w:rPr>
      </w:pPr>
    </w:p>
    <w:p>
      <w:pPr>
        <w:jc w:val="center"/>
        <w:rPr>
          <w:rFonts w:ascii="Times New Roman" w:hAnsi="Times New Roman" w:eastAsia="Times New Roman" w:cs="Times New Roman"/>
          <w:b/>
          <w:sz w:val="28"/>
          <w:szCs w:val="28"/>
        </w:rPr>
      </w:pPr>
    </w:p>
    <w:p>
      <w:pPr>
        <w:jc w:val="center"/>
        <w:rPr>
          <w:rFonts w:ascii="Times New Roman" w:hAnsi="Times New Roman" w:eastAsia="Times New Roman" w:cs="Times New Roman"/>
          <w:b/>
          <w:sz w:val="28"/>
          <w:szCs w:val="28"/>
        </w:rPr>
      </w:pPr>
    </w:p>
    <w:p>
      <w:pPr>
        <w:jc w:val="center"/>
        <w:rPr>
          <w:rFonts w:ascii="Times New Roman" w:hAnsi="Times New Roman" w:eastAsia="Times New Roman" w:cs="Times New Roman"/>
          <w:b/>
          <w:sz w:val="28"/>
          <w:szCs w:val="28"/>
        </w:rPr>
      </w:pPr>
      <w:bookmarkStart w:id="1" w:name="_GoBack"/>
      <w:bookmarkEnd w:id="1"/>
    </w:p>
    <w:p>
      <w:pPr>
        <w:jc w:val="center"/>
        <w:rPr>
          <w:rFonts w:ascii="Times New Roman" w:hAnsi="Times New Roman" w:eastAsia="Times New Roman" w:cs="Times New Roman"/>
          <w:b/>
          <w:sz w:val="28"/>
          <w:szCs w:val="28"/>
        </w:rPr>
      </w:pPr>
    </w:p>
    <w:p>
      <w:pPr>
        <w:spacing w:line="36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Методические указания по самостоятельной работе студентов</w:t>
      </w:r>
    </w:p>
    <w:p>
      <w:pPr>
        <w:pStyle w:val="7"/>
        <w:numPr>
          <w:ilvl w:val="0"/>
          <w:numId w:val="1"/>
        </w:numPr>
        <w:spacing w:line="360" w:lineRule="auto"/>
        <w:jc w:val="both"/>
        <w:rPr>
          <w:rFonts w:ascii="Times New Roman" w:hAnsi="Times New Roman" w:cs="Times New Roman"/>
          <w:b/>
          <w:sz w:val="28"/>
          <w:szCs w:val="28"/>
        </w:rPr>
      </w:pPr>
      <w:r>
        <w:rPr>
          <w:rFonts w:ascii="Times New Roman" w:hAnsi="Times New Roman" w:cs="Times New Roman"/>
          <w:b/>
          <w:sz w:val="28"/>
          <w:szCs w:val="28"/>
        </w:rPr>
        <w:t>Методические указания по самостоятельному изучению теоретической части дисциплины</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Изучение вузовских курсов непосредственно в аудиториях обусловливает такие содержательные элементы самостоятельной работы, как умение слушать и записывать лекции; критически оценивать лекции, выступления товарищей на практическом занятии, групповых занятиях, конференциях; продуманно и творчески строить свое выступление, доклад, рецензию; продуктивно готовиться к зачетам и экзаменам. К самостоятельной работе вне аудитории относится: работа с книгой, документами, первоисточниками; доработка и оформление лекционного материала; подготовка к практическим занятиям, конференциям, «круглым столам»; 4 работа в научных кружках и обществах. Известно, что в системе очного обучения удельный вес самостоятельной работы достаточно велик. Поэтому для студента крайне важно овладеть методикой самостоятельной работы. Большую помощь в этом вопросе может оказать книга Н.Е. Ерастова «Методика самостоятельной работы» (М.: Мысль, 1985.). В ней подробно изложены вопросы организации самостоятельной работы, методы обработки информации и использования полученных знаний в процессе учебы. Ценность этой книги заключается еще и в том, что рассмотренные в ней методы самостоятельной работы могут быть использованы не только при изучении указанного курса, но и при самостоятельной работе по другим дисциплинам. Настоятельно советуя студентам изучить эту книгу, мы ограничимся только краткими рекомендациями по тем видам самостоятельной работы, которые студент может использовать при изучении курса. К таким видам относятся: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1. работа над лекционным материалом;</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 работа над учебными пособиями, монографиями, научной периодикой;</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3. изучение и конспектирование нормативного материала;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подготовка к практическому занятию;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Рекомендации по работе над лекционным материалом - эта работа включает два основных этапа: конспектирование лекций и последующую работу над лекционным материалом. 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Записав лекцию или составив ее конспект, не следует оставлять работу над лекционным материалом до начала подготовки к зачету.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Рекомендации по работе с учебными пособиями, монографиями, периодикой. 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 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Конспект ускоряет повторение материала, экономит время при повторном, после определенного перерыва, обращении к уже знакомой работе. Конспектирование – один из самых сложных этапов самостоятельной работы. Каких-либо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 </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pPr>
        <w:spacing w:line="360" w:lineRule="auto"/>
        <w:ind w:left="360" w:firstLine="34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оттененном,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pPr>
        <w:spacing w:line="360" w:lineRule="auto"/>
        <w:jc w:val="both"/>
        <w:rPr>
          <w:rFonts w:ascii="Times New Roman" w:hAnsi="Times New Roman" w:cs="Times New Roman"/>
          <w:sz w:val="28"/>
          <w:szCs w:val="28"/>
          <w:lang w:val="ru-RU"/>
        </w:rPr>
      </w:pPr>
    </w:p>
    <w:p>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3 Методические указания по подготовке к различным видам занятий семинарского типа</w:t>
      </w:r>
      <w:r>
        <w:rPr>
          <w:rFonts w:ascii="Times New Roman" w:hAnsi="Times New Roman" w:cs="Times New Roman"/>
          <w:sz w:val="28"/>
          <w:szCs w:val="28"/>
          <w:lang w:val="ru-RU"/>
        </w:rPr>
        <w:t xml:space="preserve"> </w:t>
      </w:r>
    </w:p>
    <w:p>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Участие студентов на занятиях семинарского типа направлено на: - обобщение, систематизацию, углубление, закрепление полученных теоретических знаний по конкретным темам дисциплины (модуля); - формирование умений демонстрировать полученные знания на публике, реализацию единства интеллектуальной и практической деятельности; - развитие интеллектуальных умений у будущих юристов; 8 -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 Темы, по которым планируются занятия семинарского типа и их объемы, определяется рабочей программой. Семинар как вид учебного занятия может проводиться в стандартных учебных аудиториях. Продолжительность - не менее двух академических часов. Для повышения эффективности проведения практических занятий рекомендуется: разработка методического комплекса с вопросами для семинара, разработка заданий для автоматизированного тестового контроля за подготовленностью студентов к занятиям; подчинение методики проведения занятия семинарского типа ведущим дидактическим целям с соответствующими установками для студентов; применение коллективных и групповых форм работы, максимальное использование индивидуальных форм с целью повышения ответственности каждого студента за самостоятельное выполнение полного объема работ; подбор дополнительных вопросов для студентов, работающих в более быстром темпе, для эффективного использования времени, отводимого на практические занятия. Оценки за выполнение занятия семинарского типа могут выставляться по пятибалльной системе или в форме зачета и учитываться как показатели текущей успеваемости студентов.</w:t>
      </w:r>
    </w:p>
    <w:p>
      <w:pPr>
        <w:spacing w:line="36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4 Методические указания по подготовке к текущему контролю успеваемости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Текущий контроль выполняется в форме опроса, тестирования и написания рефератов и контрольных работ. </w:t>
      </w:r>
    </w:p>
    <w:p>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4.1 Методические указания по подготовке к опросу</w:t>
      </w:r>
      <w:r>
        <w:rPr>
          <w:rFonts w:ascii="Times New Roman" w:hAnsi="Times New Roman" w:cs="Times New Roman"/>
          <w:sz w:val="28"/>
          <w:szCs w:val="28"/>
          <w:lang w:val="ru-RU"/>
        </w:rPr>
        <w:t xml:space="preserve">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Самостоятельная работа студентов включает подготовку к устному опросу на занятиях семинарского типа. Для этого студент изучает лекции преподавателя, основную и дополнительную литературу, публикации, 9 информацию из Интернет-ресурсов. Тема и вопросы к занятиям семинарского типа, вопросы для самоконтроля содержатся в рабочей учебной программе и доводятся до студентов заранее. Эффективность подготовки студентов к устному опросу зависит от качества ознакомления с рекомендованной литературой. Для подготовки к устному опросу, блиц-опросу студенту необходимо ознакомиться с материалом, посвященным теме семинара, в учебнике или другой рекомендованной литературе, записях с лекционного занятия, обратить внимание на усвоение основных понятий дисциплины (модуля), выявить неясные вопросы и подобрать дополнительную литературу для их освещения, составить тезисы выступления по отдельным проблемным аспектам. В зависимости от темы, может применяться фронтальная или индивидуальная форма опроса. При индивидуальном опросе студенту дается 5-10 минут на раскрытие темы.</w:t>
      </w:r>
    </w:p>
    <w:p>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4.2 Методические указания по подготовке к тестированию</w:t>
      </w:r>
      <w:r>
        <w:rPr>
          <w:rFonts w:ascii="Times New Roman" w:hAnsi="Times New Roman" w:cs="Times New Roman"/>
          <w:sz w:val="28"/>
          <w:szCs w:val="28"/>
          <w:lang w:val="ru-RU"/>
        </w:rPr>
        <w:t xml:space="preserve">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Успешное выполнение тестовых заданий является необходимым условием итоговой положительной оценки в соответствии с применяемой системой обучения. Тестовые задания подготовлены на основе лекционного материала, учебников и учебных пособий по данному модулю. Выполнение тестовых заданий предоставляет студентам возможность контролировать уровень своих знаний, обнаруживать пробелы в знаниях и принимать меры по их ликвидации. Форма изложения тестовых заданий позволяет закрепить и восстановить в памяти пройденный материал. Предлагаемые тестовые задания охватывают узловые вопросы теоретических и практических основ по модулю. Для формирования заданий использована закрытая форма. У студента есть возможность выбора правильного ответа или нескольких правильных ответов из числа предложенных вариантов. Для выполнения тестовых заданий студенты должны изучить лекционный материал по теме, соответствующие разделы учебников, учебных пособий и 10 других литературных источников. Контрольные тестовые задания выполняются студентами на занятиях семинарского типа. Репетиционные тестовые задания содержатся в рабочей учебной программе дисциплины (модуля). С ними целесообразно ознакомиться при подготовке к контрольному тестированию.</w:t>
      </w:r>
    </w:p>
    <w:p>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4.3 Методические указания по подготовке к написанию рефератов</w:t>
      </w:r>
      <w:r>
        <w:rPr>
          <w:rFonts w:ascii="Times New Roman" w:hAnsi="Times New Roman" w:cs="Times New Roman"/>
          <w:sz w:val="28"/>
          <w:szCs w:val="28"/>
          <w:lang w:val="ru-RU"/>
        </w:rPr>
        <w:t xml:space="preserve">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самостоятельного исследования научных проблем на основе изучения текстов, специальной литературы, а также на основе личных наблюдений, исследований и практического опыта. Реферат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научной деятельности. Выбор темы осуществляется либо в соответствии с номером в списке академического журнала, либо назначается преподавателем. Кроме того, допускается и приветствуется, если студент по собственному желанию, исходя из своего научного интереса, выбирает тему соответствующую тематике дисциплины (модуля). Написание реферата состоит из следующих этапов: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выбор и формулирование проблемы, разработка плана исследования и предварительного плана реферата;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сбор и изучение исходного материала, поиск литературы;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анализ собранного материала, теоретическая разработка проблемы;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сообщение о предварительных результатах исследования;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литературное оформление исследовательской проблемы;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обсуждение работы (на семинаре, в студенческом научном обществе, на конференции и т. п.). Структура реферата включает в себя: 11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титульный лист с указанием министерства принадлежности ВУЗа, название высшего учебного заведения, кафедры, тема реферата, исполнителя (студента), преподавателя, которому сдана работа на проверку, дата сдачи работы, оценка и подпись преподавателя;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оглавление, который должен содержать введение, название основных разделов (глав, параграфов) работы, заключение, список использованной литературы и нумерации страниц;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введение, в котором определяется цель и задачи исследования, его актуальность, теоретическое и практическое значение, степень разработанности выбранной темы, используемая теоретикометодологическая, концептуальная и источниковедческая база;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основной текст, в котором раскрывается основное содержание плана. Текст должен содержать разделы (главы);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заключение, где формируются доказательные выводы на основании содержания исследуемого автором материала; </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список использованной литературы и других источников. Он не должен быть слишком обширным, однако его не обязательно ограничивать включением только тех источников, из которых приведены цитаты. Рекомендуемый объем реферата: 10-15 страниц. Оформление реферата Оформление реферата производится в соответствии с ГОСТ 2.105-95. Общие требования к текстовым документам. Минск, 1996, 30 с. Оформление списка использованной литературы Оформление списка использованной литературы производится в соответствии с ГОСТ Р 7.0.5—2008. Библиографическая ссылка. Общие требования и правила составления.</w:t>
      </w:r>
    </w:p>
    <w:p>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4.4  Методические указания по подготовке к зачету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1.Подготовка к зачету заключается в изучении и тщательной проработке студентом учебного материала дисциплины с учетом учебников, лекционных и семинарских занятий, сгруппированном в виде контрольных вопросов.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Зачет по курсу проводится в виде тестирования или по билетам. В случае проведения итогового тестирования ведущему преподавателю предоставляется право воспользоваться примерными тестовыми заданиями или составить новые тестовые задания в полном соответствии с материалом учебной дисциплины.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На зачет по курсу (в том числе и на итоговое тестирование) студент обязан предоставить: - полный конспект лекций (даже в случаях разрешения свободного посещения учебных занятий); - полный конспект семинарских занятий; - реферат (рефераты) по указанной преподавателем тематике (в случае пропусков (по неуважительной или уважительной причине) в качестве отработки пропущенного материала); - конспекты дополнительной литературы по курсу (по желанию студента).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4. На зачете по билетам студент дает ответы на вопросы билета после предварительной подготовки. Студенту предоставляется право отвечать на вопросы билета без подготовки по его желанию. Преподаватель имеет право задавать дополнительно вопросы, если студент недостаточно полно осветил тематику вопроса, если затруднительно однозначно оценить ответ, если студент не может ответить на вопрос билета, если студент отсутствовал на занятиях в семестре.</w:t>
      </w:r>
    </w:p>
    <w:p>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4.5 Методические указания по подготовке к экзамену</w:t>
      </w:r>
      <w:r>
        <w:rPr>
          <w:rFonts w:ascii="Times New Roman" w:hAnsi="Times New Roman" w:cs="Times New Roman"/>
          <w:sz w:val="28"/>
          <w:szCs w:val="28"/>
          <w:lang w:val="ru-RU"/>
        </w:rPr>
        <w:t xml:space="preserve">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Подготовка к экзамену заключается в изучении и тщательной проработке студентом учебного материала дисциплины с учетом учебников, лекционных и семинарских занятий, сгруппированном в виде контрольных 13 вопросов.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Экзамен по курсу проводится в виде тестирования или по билетам. В случае проведения итогового тестирования ведущему преподавателю предоставляется право воспользоваться примерными тестовыми заданиями или составить новые тестовые задания в полном соответствии с материалом учебной дисциплины.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3. На экзамен по курсу (в том числе и на итоговое тестирование) студент обязан предоставить: - полный конспект лекций (даже в случаях разрешения свободного посещения учебных занятий); - полный конспект семинарских занятий; - реферат (рефераты) по указанной преподавателем тематике (в случае пропусков (по неуважительной или уважительной причине) в качестве отработки пропущенного материала); - конспекты дополнительной литературы по курсу (по желанию студента).</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4. На экзамене по билетам студент дает ответы на вопросы билета после предварительной подготовки. Студенту предоставляется право отвечать на вопросы билета без подготовки по его желанию. Преподаватель имеет право задавать дополнительно вопросы, если студент недостаточно полно осветил тематику вопроса, если затруднительно однозначно оценить ответ, если студент не может ответить на вопрос билета, если студент отсутствовал на занятиях в семестре.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5. Проведение экзамена как основной формы проверки знаний студентов предполагает соблюдение ряда условий, обеспечивающих педагогическую эффективность оценочной процедуры. Важнейшие среди них:</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sym w:font="Symbol" w:char="F0B7"/>
      </w:r>
      <w:r>
        <w:rPr>
          <w:rFonts w:ascii="Times New Roman" w:hAnsi="Times New Roman" w:cs="Times New Roman"/>
          <w:sz w:val="28"/>
          <w:szCs w:val="28"/>
          <w:lang w:val="ru-RU"/>
        </w:rPr>
        <w:t xml:space="preserve"> степень охвата разделов учебной программы и понимание взаимосвязей между ними;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sym w:font="Symbol" w:char="F0B7"/>
      </w:r>
      <w:r>
        <w:rPr>
          <w:rFonts w:ascii="Times New Roman" w:hAnsi="Times New Roman" w:cs="Times New Roman"/>
          <w:sz w:val="28"/>
          <w:szCs w:val="28"/>
          <w:lang w:val="ru-RU"/>
        </w:rPr>
        <w:t xml:space="preserve"> глубина понимания существа обсуждаемых конкретных проблем, а также актуальности и практической значимости изучаемой дисциплины;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sym w:font="Symbol" w:char="F0B7"/>
      </w:r>
      <w:r>
        <w:rPr>
          <w:rFonts w:ascii="Times New Roman" w:hAnsi="Times New Roman" w:cs="Times New Roman"/>
          <w:sz w:val="28"/>
          <w:szCs w:val="28"/>
          <w:lang w:val="ru-RU"/>
        </w:rPr>
        <w:t xml:space="preserve"> диапазон знания основной и дополнительной литературы;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sym w:font="Symbol" w:char="F0B7"/>
      </w:r>
      <w:r>
        <w:rPr>
          <w:rFonts w:ascii="Times New Roman" w:hAnsi="Times New Roman" w:cs="Times New Roman"/>
          <w:sz w:val="28"/>
          <w:szCs w:val="28"/>
          <w:lang w:val="ru-RU"/>
        </w:rPr>
        <w:t xml:space="preserve"> логически корректное, непротиворечивое, последовательное и аргументированное построение ответа на экзамене; </w:t>
      </w:r>
    </w:p>
    <w:p>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sym w:font="Symbol" w:char="F0B7"/>
      </w:r>
      <w:r>
        <w:rPr>
          <w:rFonts w:ascii="Times New Roman" w:hAnsi="Times New Roman" w:cs="Times New Roman"/>
          <w:sz w:val="28"/>
          <w:szCs w:val="28"/>
          <w:lang w:val="ru-RU"/>
        </w:rPr>
        <w:t xml:space="preserve"> уровень самостоятельного мышления с элементами творческого подхода к изложению материала.</w:t>
      </w:r>
    </w:p>
    <w:p>
      <w:pPr>
        <w:rPr>
          <w:lang w:val="ru-RU"/>
        </w:rPr>
      </w:pPr>
    </w:p>
    <w:sectPr>
      <w:pgSz w:w="11906" w:h="16838"/>
      <w:pgMar w:top="1134" w:right="1134"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Book Antiqua">
    <w:altName w:val="Segoe Print"/>
    <w:panose1 w:val="02040602050305030304"/>
    <w:charset w:val="CC"/>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3D4C17"/>
    <w:multiLevelType w:val="multilevel"/>
    <w:tmpl w:val="3F3D4C17"/>
    <w:lvl w:ilvl="0" w:tentative="0">
      <w:start w:val="1"/>
      <w:numFmt w:val="decimal"/>
      <w:lvlText w:val="%1."/>
      <w:lvlJc w:val="left"/>
      <w:pPr>
        <w:ind w:left="972" w:hanging="612"/>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708"/>
  <w:drawingGridVerticalSpacing w:val="156"/>
  <w:noPunctuationKerning w:val="1"/>
  <w:characterSpacingControl w:val="doNotCompress"/>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C24"/>
    <w:rsid w:val="002D5F2E"/>
    <w:rsid w:val="00A22E23"/>
    <w:rsid w:val="00A92770"/>
    <w:rsid w:val="00B93F43"/>
    <w:rsid w:val="00E94C24"/>
    <w:rsid w:val="00FE2F64"/>
    <w:rsid w:val="09A224B1"/>
    <w:rsid w:val="0B406EEB"/>
    <w:rsid w:val="293B311B"/>
    <w:rsid w:val="3C665D68"/>
    <w:rsid w:val="4DB370F5"/>
    <w:rsid w:val="5A323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jc w:val="both"/>
    </w:pPr>
  </w:style>
  <w:style w:type="paragraph" w:styleId="5">
    <w:name w:val="Normal (Web)"/>
    <w:qFormat/>
    <w:uiPriority w:val="0"/>
    <w:pPr>
      <w:spacing w:beforeAutospacing="1" w:afterAutospacing="1"/>
    </w:pPr>
    <w:rPr>
      <w:rFonts w:ascii="Times New Roman" w:hAnsi="Times New Roman" w:eastAsia="SimSun" w:cs="Times New Roman"/>
      <w:sz w:val="24"/>
      <w:szCs w:val="24"/>
      <w:lang w:val="en-US" w:eastAsia="zh-CN" w:bidi="ar-SA"/>
    </w:rPr>
  </w:style>
  <w:style w:type="table" w:styleId="6">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spacing w:after="200" w:line="276" w:lineRule="auto"/>
      <w:ind w:left="720"/>
      <w:contextualSpacing/>
    </w:pPr>
    <w:rPr>
      <w:rFonts w:eastAsiaTheme="minorHAnsi"/>
      <w:sz w:val="22"/>
      <w:szCs w:val="22"/>
      <w:lang w:val="ru-RU"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2847</Words>
  <Characters>16230</Characters>
  <Lines>135</Lines>
  <Paragraphs>38</Paragraphs>
  <TotalTime>0</TotalTime>
  <ScaleCrop>false</ScaleCrop>
  <LinksUpToDate>false</LinksUpToDate>
  <CharactersWithSpaces>19039</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2022-11-20T16:19:00Z</dcterms:created>
  <dc:creator>User</dc:creator>
  <cp:lastModifiedBy>fap_d</cp:lastModifiedBy>
  <dcterms:modified xsi:type="dcterms:W3CDTF">2023-09-04T15:21:20Z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7FC79C3230D24A19BF3054C8A2FC4073</vt:lpwstr>
  </property>
</Properties>
</file>